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0EEE" w14:textId="4CBDBED9" w:rsidR="003B697C" w:rsidRPr="00A73BCF" w:rsidRDefault="003B697C" w:rsidP="00B50478">
      <w:pPr>
        <w:pStyle w:val="Heading1"/>
        <w:contextualSpacing/>
        <w:jc w:val="center"/>
      </w:pPr>
      <w:r w:rsidRPr="00A73BCF">
        <w:t>M</w:t>
      </w:r>
      <w:r w:rsidR="00145F70" w:rsidRPr="00A73BCF">
        <w:t>ATH</w:t>
      </w:r>
      <w:r w:rsidRPr="00A73BCF">
        <w:t xml:space="preserve"> 1</w:t>
      </w:r>
      <w:r w:rsidR="00240B66">
        <w:t>65</w:t>
      </w:r>
      <w:r w:rsidRPr="00A73BCF">
        <w:t xml:space="preserve">00 </w:t>
      </w:r>
      <w:r w:rsidR="00240B66">
        <w:t>Analytic Geometry and Calculus</w:t>
      </w:r>
      <w:r w:rsidR="00AF00BE">
        <w:t xml:space="preserve"> I</w:t>
      </w:r>
    </w:p>
    <w:p w14:paraId="3C1C677A" w14:textId="38B0FE1B" w:rsidR="000240BA" w:rsidRDefault="000240BA" w:rsidP="00B50478">
      <w:pPr>
        <w:spacing w:line="240" w:lineRule="auto"/>
        <w:contextualSpacing/>
      </w:pPr>
    </w:p>
    <w:p w14:paraId="1941A9F6" w14:textId="6FC22E35" w:rsidR="000240BA" w:rsidRPr="00E93DDF" w:rsidRDefault="00B50478" w:rsidP="000240BA">
      <w:pPr>
        <w:pStyle w:val="Heading2"/>
        <w:contextualSpacing/>
      </w:pPr>
      <w:r w:rsidRPr="00E93DDF">
        <w:t>Prerequisite</w:t>
      </w:r>
      <w:r w:rsidR="000240BA" w:rsidRPr="00E93DDF">
        <w:t>:</w:t>
      </w:r>
      <w:r w:rsidRPr="00E93DDF">
        <w:t xml:space="preserve"> </w:t>
      </w:r>
    </w:p>
    <w:p w14:paraId="07738D8A" w14:textId="11B0FBB5" w:rsidR="00B50478" w:rsidRPr="00B50478" w:rsidRDefault="00B50478" w:rsidP="00B50478">
      <w:r>
        <w:t>15900 or 15400 (minimum grade of C) or equivalent, and one year of high school geometry.</w:t>
      </w:r>
    </w:p>
    <w:p w14:paraId="6A911FA3" w14:textId="125A7334" w:rsidR="00B50478" w:rsidRDefault="00B50478" w:rsidP="00B50478">
      <w:pPr>
        <w:pStyle w:val="Heading2"/>
      </w:pPr>
      <w:r>
        <w:t>Course Description:</w:t>
      </w:r>
    </w:p>
    <w:p w14:paraId="3AAA520E" w14:textId="25BF7B01" w:rsidR="00B50478" w:rsidRPr="00B50478" w:rsidRDefault="00B50478" w:rsidP="00B50478">
      <w:r>
        <w:t>Introduction to differential and integral calculus of one variable, with applications.</w:t>
      </w:r>
    </w:p>
    <w:p w14:paraId="76A96B30" w14:textId="3302485D" w:rsidR="00B50478" w:rsidRDefault="00B50478" w:rsidP="00B50478">
      <w:pPr>
        <w:pStyle w:val="Heading2"/>
      </w:pPr>
      <w:r>
        <w:t>Objectives:</w:t>
      </w:r>
    </w:p>
    <w:p w14:paraId="07B7CCE7" w14:textId="45485EA7" w:rsidR="00B50478" w:rsidRDefault="00B50478" w:rsidP="00B50478">
      <w:r>
        <w:t>Students should gain a thorough understanding of the basic concepts of Calculus of one variable. This includes limits, derivatives of functions and their applications, the definition of the integral, the Fundamental Theorem of Calculus, and some applications of integration.</w:t>
      </w:r>
    </w:p>
    <w:p w14:paraId="04641499" w14:textId="799EF3A5" w:rsidR="00B50478" w:rsidRDefault="00B50478" w:rsidP="00B50478">
      <w:pPr>
        <w:pStyle w:val="Heading2"/>
      </w:pPr>
      <w:r>
        <w:t>Textbook:</w:t>
      </w:r>
    </w:p>
    <w:p w14:paraId="334A2955" w14:textId="61F5F54E" w:rsidR="00B50478" w:rsidRDefault="00B50478" w:rsidP="00B50478">
      <w:r>
        <w:t xml:space="preserve">James Stewart, </w:t>
      </w:r>
      <w:r w:rsidRPr="00246096">
        <w:rPr>
          <w:i/>
          <w:iCs/>
        </w:rPr>
        <w:t>Calculus</w:t>
      </w:r>
      <w:r>
        <w:t>, Thomson Brooks/Cole.</w:t>
      </w:r>
    </w:p>
    <w:p w14:paraId="33D08E9F" w14:textId="27F19ECD" w:rsidR="00B50478" w:rsidRDefault="00B50478" w:rsidP="00B50478">
      <w:pPr>
        <w:pStyle w:val="Heading2"/>
      </w:pPr>
      <w:r>
        <w:t>Content:</w:t>
      </w:r>
    </w:p>
    <w:p w14:paraId="05C01185" w14:textId="1EB9C420" w:rsidR="003C45B2" w:rsidRDefault="00B815C3" w:rsidP="0047722D">
      <w:pPr>
        <w:pStyle w:val="ListParagraph"/>
        <w:numPr>
          <w:ilvl w:val="0"/>
          <w:numId w:val="14"/>
        </w:numPr>
      </w:pPr>
      <w:r>
        <w:t xml:space="preserve">1.3 New Functions from Old Functions </w:t>
      </w:r>
    </w:p>
    <w:p w14:paraId="4BE76332" w14:textId="57A5B3B3" w:rsidR="003C45B2" w:rsidRDefault="00B815C3" w:rsidP="0047722D">
      <w:pPr>
        <w:pStyle w:val="ListParagraph"/>
        <w:numPr>
          <w:ilvl w:val="0"/>
          <w:numId w:val="14"/>
        </w:numPr>
      </w:pPr>
      <w:r>
        <w:t xml:space="preserve">1.4 The Tangent and Velocity Problems </w:t>
      </w:r>
    </w:p>
    <w:p w14:paraId="40CEA4D4" w14:textId="0AEBBD16" w:rsidR="003C45B2" w:rsidRDefault="00B815C3" w:rsidP="0047722D">
      <w:pPr>
        <w:pStyle w:val="ListParagraph"/>
        <w:numPr>
          <w:ilvl w:val="0"/>
          <w:numId w:val="14"/>
        </w:numPr>
      </w:pPr>
      <w:r>
        <w:t xml:space="preserve">1.5 The Limit of a Function </w:t>
      </w:r>
    </w:p>
    <w:p w14:paraId="110F8DEF" w14:textId="10C1AD6B" w:rsidR="008D2CC7" w:rsidRDefault="00B815C3" w:rsidP="0047722D">
      <w:pPr>
        <w:pStyle w:val="ListParagraph"/>
        <w:numPr>
          <w:ilvl w:val="0"/>
          <w:numId w:val="14"/>
        </w:numPr>
      </w:pPr>
      <w:r>
        <w:t xml:space="preserve">1.6 Calculating Limits Using the Limit Laws </w:t>
      </w:r>
    </w:p>
    <w:p w14:paraId="3D37043B" w14:textId="77777777" w:rsidR="00066995" w:rsidRDefault="00B815C3" w:rsidP="0047722D">
      <w:pPr>
        <w:pStyle w:val="ListParagraph"/>
        <w:numPr>
          <w:ilvl w:val="0"/>
          <w:numId w:val="14"/>
        </w:numPr>
      </w:pPr>
      <w:r>
        <w:t xml:space="preserve">1.7 The Precise Definition of a Limit </w:t>
      </w:r>
    </w:p>
    <w:p w14:paraId="443CF206" w14:textId="02AA2E0B" w:rsidR="008D2CC7" w:rsidRDefault="00B815C3" w:rsidP="0047722D">
      <w:pPr>
        <w:pStyle w:val="ListParagraph"/>
        <w:numPr>
          <w:ilvl w:val="0"/>
          <w:numId w:val="14"/>
        </w:numPr>
      </w:pPr>
      <w:r>
        <w:t xml:space="preserve">1.8 Continuity </w:t>
      </w:r>
    </w:p>
    <w:p w14:paraId="174D334E" w14:textId="6EF1B7E0" w:rsidR="008D2CC7" w:rsidRDefault="00B815C3" w:rsidP="0047722D">
      <w:pPr>
        <w:pStyle w:val="ListParagraph"/>
        <w:numPr>
          <w:ilvl w:val="0"/>
          <w:numId w:val="14"/>
        </w:numPr>
      </w:pPr>
      <w:r>
        <w:t xml:space="preserve">2.1 Derivatives and Rates of Change </w:t>
      </w:r>
    </w:p>
    <w:p w14:paraId="6B5F63D1" w14:textId="1E58E40C" w:rsidR="008D2CC7" w:rsidRDefault="00B815C3" w:rsidP="0047722D">
      <w:pPr>
        <w:pStyle w:val="ListParagraph"/>
        <w:numPr>
          <w:ilvl w:val="0"/>
          <w:numId w:val="14"/>
        </w:numPr>
      </w:pPr>
      <w:r>
        <w:t>2.2 The Derivative as a Function</w:t>
      </w:r>
    </w:p>
    <w:p w14:paraId="20CFBCBA" w14:textId="79B186F6" w:rsidR="008D2CC7" w:rsidRDefault="00B815C3" w:rsidP="0047722D">
      <w:pPr>
        <w:pStyle w:val="ListParagraph"/>
        <w:numPr>
          <w:ilvl w:val="0"/>
          <w:numId w:val="14"/>
        </w:numPr>
      </w:pPr>
      <w:r>
        <w:t xml:space="preserve">2.3 Differentiation Formulas </w:t>
      </w:r>
    </w:p>
    <w:p w14:paraId="658CE99F" w14:textId="2A9395B0" w:rsidR="008D2CC7" w:rsidRDefault="00B815C3" w:rsidP="0047722D">
      <w:pPr>
        <w:pStyle w:val="ListParagraph"/>
        <w:numPr>
          <w:ilvl w:val="0"/>
          <w:numId w:val="14"/>
        </w:numPr>
      </w:pPr>
      <w:r>
        <w:t xml:space="preserve">2.4 Derivatives of Trigonometric Functions </w:t>
      </w:r>
    </w:p>
    <w:p w14:paraId="06EEAB8A" w14:textId="7AE24066" w:rsidR="008D2CC7" w:rsidRDefault="00B815C3" w:rsidP="0047722D">
      <w:pPr>
        <w:pStyle w:val="ListParagraph"/>
        <w:numPr>
          <w:ilvl w:val="0"/>
          <w:numId w:val="14"/>
        </w:numPr>
      </w:pPr>
      <w:r>
        <w:t xml:space="preserve">2.5 The Chain Rule </w:t>
      </w:r>
    </w:p>
    <w:p w14:paraId="2567912F" w14:textId="54CD837D" w:rsidR="008D2CC7" w:rsidRDefault="00B815C3" w:rsidP="0047722D">
      <w:pPr>
        <w:pStyle w:val="ListParagraph"/>
        <w:numPr>
          <w:ilvl w:val="0"/>
          <w:numId w:val="14"/>
        </w:numPr>
      </w:pPr>
      <w:r>
        <w:t xml:space="preserve">2.6 Implicit Differentiation </w:t>
      </w:r>
    </w:p>
    <w:p w14:paraId="62FF7078" w14:textId="6B3A24C1" w:rsidR="008D2CC7" w:rsidRDefault="00B815C3" w:rsidP="0047722D">
      <w:pPr>
        <w:pStyle w:val="ListParagraph"/>
        <w:numPr>
          <w:ilvl w:val="0"/>
          <w:numId w:val="14"/>
        </w:numPr>
      </w:pPr>
      <w:r>
        <w:t xml:space="preserve">2.7 Rates of Change in the Natural and Social Sciences </w:t>
      </w:r>
    </w:p>
    <w:p w14:paraId="6DD0EF95" w14:textId="30A0F1DB" w:rsidR="008D2CC7" w:rsidRDefault="00B815C3" w:rsidP="0047722D">
      <w:pPr>
        <w:pStyle w:val="ListParagraph"/>
        <w:numPr>
          <w:ilvl w:val="0"/>
          <w:numId w:val="14"/>
        </w:numPr>
      </w:pPr>
      <w:r>
        <w:t xml:space="preserve">2.8 Related Rates </w:t>
      </w:r>
    </w:p>
    <w:p w14:paraId="7DBDD274" w14:textId="296B2E36" w:rsidR="008D2CC7" w:rsidRDefault="00B815C3" w:rsidP="0047722D">
      <w:pPr>
        <w:pStyle w:val="ListParagraph"/>
        <w:numPr>
          <w:ilvl w:val="0"/>
          <w:numId w:val="14"/>
        </w:numPr>
      </w:pPr>
      <w:r>
        <w:t xml:space="preserve">2.9 Linear Approximations and Differentials </w:t>
      </w:r>
    </w:p>
    <w:p w14:paraId="0295AB60" w14:textId="380A969F" w:rsidR="008D2CC7" w:rsidRDefault="00B815C3" w:rsidP="0047722D">
      <w:pPr>
        <w:pStyle w:val="ListParagraph"/>
        <w:numPr>
          <w:ilvl w:val="0"/>
          <w:numId w:val="14"/>
        </w:numPr>
      </w:pPr>
      <w:r>
        <w:t xml:space="preserve">3.1 Maximum and Minimum Values </w:t>
      </w:r>
    </w:p>
    <w:p w14:paraId="12DB27B0" w14:textId="09411C3E" w:rsidR="008D2CC7" w:rsidRDefault="00B815C3" w:rsidP="0047722D">
      <w:pPr>
        <w:pStyle w:val="ListParagraph"/>
        <w:numPr>
          <w:ilvl w:val="0"/>
          <w:numId w:val="14"/>
        </w:numPr>
      </w:pPr>
      <w:r>
        <w:t xml:space="preserve">3.2 The Mean Value Theorem </w:t>
      </w:r>
    </w:p>
    <w:p w14:paraId="76BE2888" w14:textId="21E53F22" w:rsidR="008D2CC7" w:rsidRDefault="00B815C3" w:rsidP="0047722D">
      <w:pPr>
        <w:pStyle w:val="ListParagraph"/>
        <w:numPr>
          <w:ilvl w:val="0"/>
          <w:numId w:val="14"/>
        </w:numPr>
      </w:pPr>
      <w:r>
        <w:t xml:space="preserve">3.3 How Derivatives Affect the Shape of a Graph </w:t>
      </w:r>
    </w:p>
    <w:p w14:paraId="61015D1B" w14:textId="72B3AF33" w:rsidR="008D2CC7" w:rsidRDefault="00B815C3" w:rsidP="0047722D">
      <w:pPr>
        <w:pStyle w:val="ListParagraph"/>
        <w:numPr>
          <w:ilvl w:val="0"/>
          <w:numId w:val="14"/>
        </w:numPr>
      </w:pPr>
      <w:r>
        <w:t xml:space="preserve">3.4 Limits at Infinity; Horizontal Asymptotes </w:t>
      </w:r>
    </w:p>
    <w:p w14:paraId="062C2C7E" w14:textId="72552C0A" w:rsidR="008D2CC7" w:rsidRDefault="00B815C3" w:rsidP="0047722D">
      <w:pPr>
        <w:pStyle w:val="ListParagraph"/>
        <w:numPr>
          <w:ilvl w:val="0"/>
          <w:numId w:val="14"/>
        </w:numPr>
      </w:pPr>
      <w:r>
        <w:t xml:space="preserve">3.5 Summary of Curve Sketching </w:t>
      </w:r>
    </w:p>
    <w:p w14:paraId="6C65721D" w14:textId="488766DB" w:rsidR="008D2CC7" w:rsidRDefault="00B815C3" w:rsidP="0047722D">
      <w:pPr>
        <w:pStyle w:val="ListParagraph"/>
        <w:numPr>
          <w:ilvl w:val="0"/>
          <w:numId w:val="14"/>
        </w:numPr>
      </w:pPr>
      <w:r>
        <w:t xml:space="preserve">3.7 Optimization Problems </w:t>
      </w:r>
    </w:p>
    <w:p w14:paraId="0EECC5BA" w14:textId="0D81B6B4" w:rsidR="008D2CC7" w:rsidRDefault="00B815C3" w:rsidP="0047722D">
      <w:pPr>
        <w:pStyle w:val="ListParagraph"/>
        <w:numPr>
          <w:ilvl w:val="0"/>
          <w:numId w:val="14"/>
        </w:numPr>
      </w:pPr>
      <w:r>
        <w:t xml:space="preserve">3.8 Newton’s Method </w:t>
      </w:r>
    </w:p>
    <w:p w14:paraId="7DF5DD8A" w14:textId="444AD462" w:rsidR="008D2CC7" w:rsidRDefault="00B815C3" w:rsidP="0047722D">
      <w:pPr>
        <w:pStyle w:val="ListParagraph"/>
        <w:numPr>
          <w:ilvl w:val="0"/>
          <w:numId w:val="14"/>
        </w:numPr>
      </w:pPr>
      <w:r>
        <w:t xml:space="preserve">3.9 Antiderivatives </w:t>
      </w:r>
    </w:p>
    <w:p w14:paraId="40C56DCA" w14:textId="05C287E6" w:rsidR="008D2CC7" w:rsidRDefault="00B815C3" w:rsidP="0047722D">
      <w:pPr>
        <w:pStyle w:val="ListParagraph"/>
        <w:numPr>
          <w:ilvl w:val="0"/>
          <w:numId w:val="14"/>
        </w:numPr>
      </w:pPr>
      <w:r>
        <w:t xml:space="preserve">4.1 Areas and Distances </w:t>
      </w:r>
    </w:p>
    <w:p w14:paraId="4EB2E171" w14:textId="12E4434C" w:rsidR="008D2CC7" w:rsidRDefault="00B815C3" w:rsidP="0047722D">
      <w:pPr>
        <w:pStyle w:val="ListParagraph"/>
        <w:numPr>
          <w:ilvl w:val="0"/>
          <w:numId w:val="14"/>
        </w:numPr>
      </w:pPr>
      <w:r>
        <w:lastRenderedPageBreak/>
        <w:t xml:space="preserve">4.2 The definite Integral </w:t>
      </w:r>
    </w:p>
    <w:p w14:paraId="1954981B" w14:textId="59F66BB0" w:rsidR="008D2CC7" w:rsidRDefault="00B815C3" w:rsidP="0047722D">
      <w:pPr>
        <w:pStyle w:val="ListParagraph"/>
        <w:numPr>
          <w:ilvl w:val="0"/>
          <w:numId w:val="14"/>
        </w:numPr>
      </w:pPr>
      <w:r>
        <w:t xml:space="preserve">4.3 The Fundamental Theorem of Calculus </w:t>
      </w:r>
    </w:p>
    <w:p w14:paraId="30BF486D" w14:textId="5D8E17CD" w:rsidR="008D2CC7" w:rsidRDefault="00B815C3" w:rsidP="0047722D">
      <w:pPr>
        <w:pStyle w:val="ListParagraph"/>
        <w:numPr>
          <w:ilvl w:val="0"/>
          <w:numId w:val="14"/>
        </w:numPr>
      </w:pPr>
      <w:r>
        <w:t xml:space="preserve">4.4 Indefinite Integrals and the Net Change Theorem </w:t>
      </w:r>
    </w:p>
    <w:p w14:paraId="00F4EAC2" w14:textId="2F33FDA6" w:rsidR="008D2CC7" w:rsidRDefault="00B815C3" w:rsidP="0047722D">
      <w:pPr>
        <w:pStyle w:val="ListParagraph"/>
        <w:numPr>
          <w:ilvl w:val="0"/>
          <w:numId w:val="14"/>
        </w:numPr>
      </w:pPr>
      <w:r>
        <w:t xml:space="preserve">4.5 The Substitution Rule </w:t>
      </w:r>
    </w:p>
    <w:p w14:paraId="54B2216A" w14:textId="78968B8A" w:rsidR="008D2CC7" w:rsidRDefault="00B815C3" w:rsidP="0047722D">
      <w:pPr>
        <w:pStyle w:val="ListParagraph"/>
        <w:numPr>
          <w:ilvl w:val="0"/>
          <w:numId w:val="14"/>
        </w:numPr>
      </w:pPr>
      <w:r>
        <w:t xml:space="preserve">5.1 Areas Between Curves </w:t>
      </w:r>
    </w:p>
    <w:p w14:paraId="5BFE623B" w14:textId="42741CDA" w:rsidR="008D2CC7" w:rsidRDefault="00B815C3" w:rsidP="0047722D">
      <w:pPr>
        <w:pStyle w:val="ListParagraph"/>
        <w:numPr>
          <w:ilvl w:val="0"/>
          <w:numId w:val="14"/>
        </w:numPr>
      </w:pPr>
      <w:r>
        <w:t xml:space="preserve">5.2 Volumes </w:t>
      </w:r>
    </w:p>
    <w:p w14:paraId="55A63C4F" w14:textId="7B83AA70" w:rsidR="008D2CC7" w:rsidRDefault="00B815C3" w:rsidP="0047722D">
      <w:pPr>
        <w:pStyle w:val="ListParagraph"/>
        <w:numPr>
          <w:ilvl w:val="0"/>
          <w:numId w:val="14"/>
        </w:numPr>
      </w:pPr>
      <w:r>
        <w:t xml:space="preserve">5.3 Volumes by Cylindrical Shells </w:t>
      </w:r>
    </w:p>
    <w:p w14:paraId="5EAB0208" w14:textId="052E8353" w:rsidR="008D2CC7" w:rsidRDefault="00B815C3" w:rsidP="0047722D">
      <w:pPr>
        <w:pStyle w:val="ListParagraph"/>
        <w:numPr>
          <w:ilvl w:val="0"/>
          <w:numId w:val="14"/>
        </w:numPr>
      </w:pPr>
      <w:r>
        <w:t>5.4 Work</w:t>
      </w:r>
    </w:p>
    <w:p w14:paraId="0D5D4A76" w14:textId="6470CBB6" w:rsidR="0047722D" w:rsidRDefault="00B815C3" w:rsidP="0047722D">
      <w:pPr>
        <w:pStyle w:val="ListParagraph"/>
        <w:numPr>
          <w:ilvl w:val="0"/>
          <w:numId w:val="14"/>
        </w:numPr>
      </w:pPr>
      <w:r>
        <w:t>5.5 Average Value of a Function</w:t>
      </w:r>
    </w:p>
    <w:p w14:paraId="4C61388A" w14:textId="4F23F62B" w:rsidR="0047722D" w:rsidRPr="0047722D" w:rsidRDefault="0047722D" w:rsidP="0047722D">
      <w:pPr>
        <w:pStyle w:val="Heading2"/>
      </w:pPr>
      <w:r>
        <w:t>Calculator Policy:</w:t>
      </w:r>
    </w:p>
    <w:p w14:paraId="78AD514C" w14:textId="70CB4C83" w:rsidR="00B50478" w:rsidRDefault="00DD77CC" w:rsidP="00B50478">
      <w:r>
        <w:t>N</w:t>
      </w:r>
      <w:r w:rsidR="0047722D">
        <w:t xml:space="preserve">o calculators or other forms of technology can be used </w:t>
      </w:r>
      <w:r w:rsidR="00C32BFF">
        <w:t>for</w:t>
      </w:r>
      <w:r w:rsidR="0047722D">
        <w:t xml:space="preserve"> in-class, closed-books assessments (quizzes, tests, final)</w:t>
      </w:r>
      <w:r>
        <w:t>.</w:t>
      </w:r>
    </w:p>
    <w:p w14:paraId="1290CC9D" w14:textId="5025038C" w:rsidR="006F7C43" w:rsidRDefault="006F7C43" w:rsidP="006F7C43">
      <w:pPr>
        <w:pStyle w:val="Heading2"/>
      </w:pPr>
      <w:r>
        <w:t>Attendance:</w:t>
      </w:r>
    </w:p>
    <w:p w14:paraId="3705F417" w14:textId="3EA4CC46" w:rsidR="006F7C43" w:rsidRDefault="006F7C43" w:rsidP="006F7C43">
      <w:r>
        <w:t xml:space="preserve">Attendance is critical for success in this course and is required of all students without exception. A student absent from class is responsible for all material covered that day. Please see </w:t>
      </w:r>
      <w:r w:rsidR="00D23766">
        <w:t xml:space="preserve">the </w:t>
      </w:r>
      <w:r>
        <w:t>Administrative Withdrawal section later in this syllabus.</w:t>
      </w:r>
    </w:p>
    <w:p w14:paraId="2C6612A0" w14:textId="00D3A6CB" w:rsidR="006F7C43" w:rsidRDefault="006F7C43" w:rsidP="006F7C43">
      <w:pPr>
        <w:pStyle w:val="Heading2"/>
      </w:pPr>
      <w:r>
        <w:t>Homework:</w:t>
      </w:r>
    </w:p>
    <w:p w14:paraId="0D84F1FE" w14:textId="26630BA5" w:rsidR="00B50478" w:rsidRDefault="006F7C43" w:rsidP="00B50478">
      <w:r>
        <w:t>Homework will not be collected and graded but will be reflected in your quiz grade.</w:t>
      </w:r>
    </w:p>
    <w:p w14:paraId="402F73E8" w14:textId="7E655A77" w:rsidR="006F7C43" w:rsidRDefault="006F7C43" w:rsidP="006F7C43">
      <w:pPr>
        <w:pStyle w:val="Heading2"/>
      </w:pPr>
      <w:r>
        <w:t>Grades:</w:t>
      </w:r>
    </w:p>
    <w:p w14:paraId="72BCCAFB" w14:textId="4502B3DA" w:rsidR="00F0595A" w:rsidRDefault="006F7C43" w:rsidP="00F0595A">
      <w:pPr>
        <w:pStyle w:val="ListParagraph"/>
        <w:numPr>
          <w:ilvl w:val="0"/>
          <w:numId w:val="15"/>
        </w:numPr>
      </w:pPr>
      <w:r w:rsidRPr="00117DBB">
        <w:rPr>
          <w:b/>
          <w:bCs/>
        </w:rPr>
        <w:t>Quizze</w:t>
      </w:r>
      <w:r w:rsidR="00BD4DE2">
        <w:rPr>
          <w:b/>
          <w:bCs/>
        </w:rPr>
        <w:t>s</w:t>
      </w:r>
      <w:r w:rsidR="00881C84">
        <w:rPr>
          <w:b/>
          <w:bCs/>
        </w:rPr>
        <w:t>/</w:t>
      </w:r>
      <w:r w:rsidRPr="00117DBB">
        <w:rPr>
          <w:b/>
          <w:bCs/>
        </w:rPr>
        <w:t>Tests</w:t>
      </w:r>
      <w:r>
        <w:t>: 400 points</w:t>
      </w:r>
    </w:p>
    <w:p w14:paraId="04EB99C7" w14:textId="2A9B841F" w:rsidR="006F7C43" w:rsidRDefault="006F7C43" w:rsidP="00F0595A">
      <w:pPr>
        <w:pStyle w:val="ListParagraph"/>
        <w:numPr>
          <w:ilvl w:val="0"/>
          <w:numId w:val="15"/>
        </w:numPr>
      </w:pPr>
      <w:r w:rsidRPr="00117DBB">
        <w:rPr>
          <w:b/>
          <w:bCs/>
        </w:rPr>
        <w:t>Final Exam</w:t>
      </w:r>
      <w:r>
        <w:t>: 200 points</w:t>
      </w:r>
    </w:p>
    <w:p w14:paraId="296B8DBE" w14:textId="2CCAF964" w:rsidR="004F1C1F" w:rsidRDefault="004E6DC0" w:rsidP="004E6DC0">
      <w:pPr>
        <w:pStyle w:val="Heading2"/>
      </w:pPr>
      <w:r>
        <w:t>Grading scale</w:t>
      </w:r>
      <w:r w:rsidR="008D543D">
        <w:t>:</w:t>
      </w:r>
    </w:p>
    <w:p w14:paraId="74846CC2" w14:textId="77777777" w:rsidR="006E3C30" w:rsidRDefault="006E3C30" w:rsidP="006E3C30">
      <w:pPr>
        <w:spacing w:line="240" w:lineRule="auto"/>
        <w:sectPr w:rsidR="006E3C30" w:rsidSect="004F1C1F">
          <w:type w:val="continuous"/>
          <w:pgSz w:w="12240" w:h="15840"/>
          <w:pgMar w:top="1440" w:right="1440" w:bottom="1440" w:left="1440" w:header="720" w:footer="720" w:gutter="0"/>
          <w:cols w:space="720"/>
          <w:docGrid w:linePitch="360"/>
        </w:sectPr>
      </w:pPr>
    </w:p>
    <w:p w14:paraId="33B76381" w14:textId="3B59865D" w:rsidR="004F1C1F" w:rsidRDefault="00787A96" w:rsidP="00954B94">
      <w:pPr>
        <w:pStyle w:val="ListParagraph"/>
        <w:numPr>
          <w:ilvl w:val="0"/>
          <w:numId w:val="16"/>
        </w:numPr>
        <w:spacing w:line="240" w:lineRule="auto"/>
      </w:pPr>
      <w:r>
        <w:t xml:space="preserve">100-96 is </w:t>
      </w:r>
      <w:r w:rsidR="004F1C1F">
        <w:t>A+</w:t>
      </w:r>
    </w:p>
    <w:p w14:paraId="1D711C90" w14:textId="16F7B35E" w:rsidR="004F1C1F" w:rsidRDefault="004F1C1F" w:rsidP="00954B94">
      <w:pPr>
        <w:pStyle w:val="ListParagraph"/>
        <w:numPr>
          <w:ilvl w:val="0"/>
          <w:numId w:val="6"/>
        </w:numPr>
        <w:spacing w:line="240" w:lineRule="auto"/>
      </w:pPr>
      <w:r>
        <w:t>9</w:t>
      </w:r>
      <w:r w:rsidR="00954B94">
        <w:t>5</w:t>
      </w:r>
      <w:r>
        <w:t>-9</w:t>
      </w:r>
      <w:r w:rsidR="00954B94">
        <w:t>2</w:t>
      </w:r>
      <w:r>
        <w:t xml:space="preserve"> is A</w:t>
      </w:r>
    </w:p>
    <w:p w14:paraId="17618BD8" w14:textId="63105385" w:rsidR="004F1C1F" w:rsidRDefault="004F1C1F" w:rsidP="00954B94">
      <w:pPr>
        <w:pStyle w:val="ListParagraph"/>
        <w:numPr>
          <w:ilvl w:val="0"/>
          <w:numId w:val="6"/>
        </w:numPr>
        <w:spacing w:line="240" w:lineRule="auto"/>
      </w:pPr>
      <w:r>
        <w:t>9</w:t>
      </w:r>
      <w:r w:rsidR="00954B94">
        <w:t>1</w:t>
      </w:r>
      <w:r>
        <w:t>-90 is A-</w:t>
      </w:r>
    </w:p>
    <w:p w14:paraId="143E948B" w14:textId="166A5BB4" w:rsidR="004F1C1F" w:rsidRDefault="004F1C1F" w:rsidP="00954B94">
      <w:pPr>
        <w:pStyle w:val="ListParagraph"/>
        <w:numPr>
          <w:ilvl w:val="0"/>
          <w:numId w:val="6"/>
        </w:numPr>
        <w:spacing w:line="240" w:lineRule="auto"/>
      </w:pPr>
      <w:r>
        <w:t>89-8</w:t>
      </w:r>
      <w:r w:rsidR="00954B94">
        <w:t>5</w:t>
      </w:r>
      <w:r>
        <w:t xml:space="preserve"> is B+</w:t>
      </w:r>
    </w:p>
    <w:p w14:paraId="3FD55F61" w14:textId="3715E59C" w:rsidR="004F1C1F" w:rsidRDefault="004F1C1F" w:rsidP="00954B94">
      <w:pPr>
        <w:pStyle w:val="ListParagraph"/>
        <w:numPr>
          <w:ilvl w:val="0"/>
          <w:numId w:val="6"/>
        </w:numPr>
        <w:spacing w:line="240" w:lineRule="auto"/>
      </w:pPr>
      <w:r>
        <w:t>8</w:t>
      </w:r>
      <w:r w:rsidR="00954B94">
        <w:t>4</w:t>
      </w:r>
      <w:r>
        <w:t>-8</w:t>
      </w:r>
      <w:r w:rsidR="00954B94">
        <w:t>0</w:t>
      </w:r>
      <w:r>
        <w:t xml:space="preserve"> is B</w:t>
      </w:r>
    </w:p>
    <w:p w14:paraId="77B8DFA1" w14:textId="11F1D38A" w:rsidR="004F1C1F" w:rsidRDefault="00954B94" w:rsidP="00954B94">
      <w:pPr>
        <w:pStyle w:val="ListParagraph"/>
        <w:numPr>
          <w:ilvl w:val="0"/>
          <w:numId w:val="6"/>
        </w:numPr>
        <w:spacing w:line="240" w:lineRule="auto"/>
      </w:pPr>
      <w:r>
        <w:t>79</w:t>
      </w:r>
      <w:r w:rsidR="004F1C1F">
        <w:t>-</w:t>
      </w:r>
      <w:r>
        <w:t>75</w:t>
      </w:r>
      <w:r w:rsidR="004F1C1F">
        <w:t xml:space="preserve"> is B-</w:t>
      </w:r>
    </w:p>
    <w:p w14:paraId="0A682A10" w14:textId="35FD70E6" w:rsidR="004F1C1F" w:rsidRDefault="004F1C1F" w:rsidP="00954B94">
      <w:pPr>
        <w:pStyle w:val="ListParagraph"/>
        <w:numPr>
          <w:ilvl w:val="0"/>
          <w:numId w:val="6"/>
        </w:numPr>
        <w:spacing w:line="240" w:lineRule="auto"/>
      </w:pPr>
      <w:r>
        <w:t>7</w:t>
      </w:r>
      <w:r w:rsidR="00954B94">
        <w:t>4</w:t>
      </w:r>
      <w:r>
        <w:t>-7</w:t>
      </w:r>
      <w:r w:rsidR="00954B94">
        <w:t>0</w:t>
      </w:r>
      <w:r>
        <w:t xml:space="preserve"> is C+</w:t>
      </w:r>
    </w:p>
    <w:p w14:paraId="592263FB" w14:textId="65128731" w:rsidR="004F1C1F" w:rsidRDefault="00954B94" w:rsidP="00954B94">
      <w:pPr>
        <w:pStyle w:val="ListParagraph"/>
        <w:numPr>
          <w:ilvl w:val="0"/>
          <w:numId w:val="6"/>
        </w:numPr>
        <w:spacing w:line="240" w:lineRule="auto"/>
      </w:pPr>
      <w:r>
        <w:t>69</w:t>
      </w:r>
      <w:r w:rsidR="004F1C1F">
        <w:t>-</w:t>
      </w:r>
      <w:r>
        <w:t>65</w:t>
      </w:r>
      <w:r w:rsidR="004F1C1F">
        <w:t xml:space="preserve"> is C</w:t>
      </w:r>
    </w:p>
    <w:p w14:paraId="1762688E" w14:textId="5454CF2D" w:rsidR="004F1C1F" w:rsidRDefault="00954B94" w:rsidP="00954B94">
      <w:pPr>
        <w:pStyle w:val="ListParagraph"/>
        <w:numPr>
          <w:ilvl w:val="0"/>
          <w:numId w:val="6"/>
        </w:numPr>
        <w:spacing w:line="240" w:lineRule="auto"/>
      </w:pPr>
      <w:r>
        <w:t>64</w:t>
      </w:r>
      <w:r w:rsidR="004F1C1F">
        <w:t>-</w:t>
      </w:r>
      <w:r>
        <w:t>60</w:t>
      </w:r>
      <w:r w:rsidR="004F1C1F">
        <w:t xml:space="preserve"> is C-</w:t>
      </w:r>
    </w:p>
    <w:p w14:paraId="1FBD2B92" w14:textId="43234AB5" w:rsidR="004F1C1F" w:rsidRDefault="00954B94" w:rsidP="00954B94">
      <w:pPr>
        <w:pStyle w:val="ListParagraph"/>
        <w:numPr>
          <w:ilvl w:val="0"/>
          <w:numId w:val="6"/>
        </w:numPr>
        <w:spacing w:line="240" w:lineRule="auto"/>
      </w:pPr>
      <w:r>
        <w:t>59</w:t>
      </w:r>
      <w:r w:rsidR="004F1C1F">
        <w:t>-</w:t>
      </w:r>
      <w:r>
        <w:t>50</w:t>
      </w:r>
      <w:r w:rsidR="004F1C1F">
        <w:t xml:space="preserve"> is D</w:t>
      </w:r>
    </w:p>
    <w:p w14:paraId="08A59F6E" w14:textId="18DC80C9" w:rsidR="006E3C30" w:rsidRDefault="00954B94" w:rsidP="00954B94">
      <w:pPr>
        <w:pStyle w:val="ListParagraph"/>
        <w:numPr>
          <w:ilvl w:val="0"/>
          <w:numId w:val="6"/>
        </w:numPr>
        <w:spacing w:line="240" w:lineRule="auto"/>
        <w:sectPr w:rsidR="006E3C30" w:rsidSect="006E3C30">
          <w:type w:val="continuous"/>
          <w:pgSz w:w="12240" w:h="15840"/>
          <w:pgMar w:top="1440" w:right="1440" w:bottom="1440" w:left="1440" w:header="720" w:footer="720" w:gutter="0"/>
          <w:cols w:num="2" w:space="720"/>
          <w:docGrid w:linePitch="360"/>
        </w:sectPr>
      </w:pPr>
      <w:r>
        <w:t>4</w:t>
      </w:r>
      <w:r w:rsidR="004F1C1F">
        <w:t xml:space="preserve">9-0 is </w:t>
      </w:r>
      <w:r w:rsidR="000728C3">
        <w:t>F</w:t>
      </w:r>
    </w:p>
    <w:p w14:paraId="0D492CCD" w14:textId="77777777" w:rsidR="000728C3" w:rsidRDefault="000728C3" w:rsidP="00B50478">
      <w:pPr>
        <w:rPr>
          <w:b/>
          <w:bCs/>
        </w:rPr>
      </w:pPr>
    </w:p>
    <w:p w14:paraId="4B6615E7" w14:textId="4D533C9D" w:rsidR="006F7C43" w:rsidRDefault="004F1C1F" w:rsidP="00B50478">
      <w:pPr>
        <w:rPr>
          <w:b/>
          <w:bCs/>
        </w:rPr>
      </w:pPr>
      <w:r w:rsidRPr="004F1C1F">
        <w:rPr>
          <w:b/>
          <w:bCs/>
        </w:rPr>
        <w:t>Department policy states that students must pass the final exam to pass the course</w:t>
      </w:r>
      <w:r>
        <w:rPr>
          <w:b/>
          <w:bCs/>
        </w:rPr>
        <w:t>.</w:t>
      </w:r>
    </w:p>
    <w:p w14:paraId="44CC9213" w14:textId="79673697" w:rsidR="00292CCF" w:rsidRDefault="007B36AA" w:rsidP="007B36AA">
      <w:pPr>
        <w:pStyle w:val="Heading2"/>
      </w:pPr>
      <w:r>
        <w:t>Course Web Page:</w:t>
      </w:r>
    </w:p>
    <w:p w14:paraId="345D7588" w14:textId="6E8024BB" w:rsidR="007B36AA" w:rsidRDefault="007B36AA" w:rsidP="007B36AA">
      <w:r>
        <w:t>The</w:t>
      </w:r>
      <w:r w:rsidR="00F46583">
        <w:t xml:space="preserve"> </w:t>
      </w:r>
      <w:hyperlink r:id="rId8" w:history="1">
        <w:r w:rsidR="00F46583" w:rsidRPr="00F46583">
          <w:rPr>
            <w:rStyle w:val="Hyperlink"/>
          </w:rPr>
          <w:t>course</w:t>
        </w:r>
        <w:r w:rsidR="00395408" w:rsidRPr="00F46583">
          <w:rPr>
            <w:rStyle w:val="Hyperlink"/>
          </w:rPr>
          <w:t xml:space="preserve"> web </w:t>
        </w:r>
        <w:r w:rsidRPr="00F46583">
          <w:rPr>
            <w:rStyle w:val="Hyperlink"/>
          </w:rPr>
          <w:t>page</w:t>
        </w:r>
        <w:r w:rsidR="00D63705" w:rsidRPr="00F46583">
          <w:rPr>
            <w:rStyle w:val="Hyperlink"/>
          </w:rPr>
          <w:t xml:space="preserve"> on the department’s list of </w:t>
        </w:r>
        <w:r w:rsidR="00941119">
          <w:rPr>
            <w:rStyle w:val="Hyperlink"/>
          </w:rPr>
          <w:t xml:space="preserve">math </w:t>
        </w:r>
        <w:r w:rsidR="00D63705" w:rsidRPr="00F46583">
          <w:rPr>
            <w:rStyle w:val="Hyperlink"/>
          </w:rPr>
          <w:t>courses</w:t>
        </w:r>
      </w:hyperlink>
      <w:r w:rsidR="00D63705">
        <w:t xml:space="preserve"> contains</w:t>
      </w:r>
      <w:r w:rsidR="00CB4263">
        <w:t xml:space="preserve"> </w:t>
      </w:r>
      <w:r>
        <w:t>practice problems</w:t>
      </w:r>
      <w:r w:rsidR="009060B4">
        <w:t>,</w:t>
      </w:r>
      <w:r>
        <w:t xml:space="preserve"> tests</w:t>
      </w:r>
      <w:r w:rsidR="009060B4">
        <w:t>,</w:t>
      </w:r>
      <w:r>
        <w:t xml:space="preserve"> and other helpful information about the course.</w:t>
      </w:r>
    </w:p>
    <w:p w14:paraId="5B761060" w14:textId="75FF1CA9" w:rsidR="007B36AA" w:rsidRDefault="007B36AA" w:rsidP="007B36AA">
      <w:pPr>
        <w:pStyle w:val="Heading2"/>
      </w:pPr>
      <w:r>
        <w:t>Math Assistance Center (MAC):</w:t>
      </w:r>
    </w:p>
    <w:p w14:paraId="16B294BF" w14:textId="6E7BA127" w:rsidR="00B50478" w:rsidRDefault="007B36AA" w:rsidP="00B50478">
      <w:r>
        <w:t>Tutoring</w:t>
      </w:r>
      <w:r w:rsidR="007501B2">
        <w:t xml:space="preserve"> and </w:t>
      </w:r>
      <w:r>
        <w:t xml:space="preserve">mentoring </w:t>
      </w:r>
      <w:r w:rsidR="007501B2">
        <w:t>services are</w:t>
      </w:r>
      <w:r>
        <w:t xml:space="preserve"> available in the Math Assistance Center (MAC). The MAC is located in Taylor Hall (UC), Room B001. To find </w:t>
      </w:r>
      <w:r w:rsidR="007501B2">
        <w:t>out</w:t>
      </w:r>
      <w:r>
        <w:t xml:space="preserve"> more about the tutoring/mentoring schedule and other general information about the MAC, </w:t>
      </w:r>
      <w:hyperlink r:id="rId9" w:history="1">
        <w:r w:rsidRPr="005A1513">
          <w:rPr>
            <w:rStyle w:val="Hyperlink"/>
          </w:rPr>
          <w:t>check out the MAC web</w:t>
        </w:r>
        <w:r w:rsidR="00597C86" w:rsidRPr="005A1513">
          <w:rPr>
            <w:rStyle w:val="Hyperlink"/>
          </w:rPr>
          <w:t>site</w:t>
        </w:r>
      </w:hyperlink>
      <w:r>
        <w:t>.</w:t>
      </w:r>
    </w:p>
    <w:p w14:paraId="2613F183" w14:textId="6542B230" w:rsidR="007B36AA" w:rsidRDefault="007B36AA" w:rsidP="007B36AA">
      <w:pPr>
        <w:pStyle w:val="Heading2"/>
      </w:pPr>
      <w:r>
        <w:lastRenderedPageBreak/>
        <w:t>Email Correspondence:</w:t>
      </w:r>
    </w:p>
    <w:p w14:paraId="00864059" w14:textId="3F67BE2F" w:rsidR="007B36AA" w:rsidRDefault="007B36AA" w:rsidP="007B36AA">
      <w:r>
        <w:t xml:space="preserve">All email correspondence should be sent to university faculty using your university email account and not from a non-university email provider such as </w:t>
      </w:r>
      <w:r w:rsidR="00FD0BA8">
        <w:t>Y</w:t>
      </w:r>
      <w:r>
        <w:t xml:space="preserve">ahoo, </w:t>
      </w:r>
      <w:r w:rsidR="00FD0BA8">
        <w:t>G</w:t>
      </w:r>
      <w:r>
        <w:t>mail, Hotmail, etc.</w:t>
      </w:r>
    </w:p>
    <w:p w14:paraId="0284D41F" w14:textId="0B3A0D44" w:rsidR="00994636" w:rsidRPr="007B36AA" w:rsidRDefault="006C5112" w:rsidP="00994636">
      <w:pPr>
        <w:pStyle w:val="Heading2"/>
      </w:pPr>
      <w:r>
        <w:t>Accommodations</w:t>
      </w:r>
      <w:r w:rsidR="00994636">
        <w:t>:</w:t>
      </w:r>
    </w:p>
    <w:p w14:paraId="31248A77" w14:textId="493748D0" w:rsidR="00B50478" w:rsidRDefault="00994636" w:rsidP="00B50478">
      <w:r>
        <w:t xml:space="preserve">Students needing accommodations because of a disability will need to register with Adaptive Educational Services (AES) and complete the appropriate forms issued by AES before accommodations will be given. The AES office is located in Taylor Hall, UC 100. You can also reach the office by calling </w:t>
      </w:r>
      <w:r w:rsidR="00DB4715">
        <w:t>317-</w:t>
      </w:r>
      <w:r>
        <w:t xml:space="preserve">274-3241. </w:t>
      </w:r>
      <w:hyperlink r:id="rId10" w:history="1">
        <w:r w:rsidRPr="006E26EA">
          <w:rPr>
            <w:rStyle w:val="Hyperlink"/>
          </w:rPr>
          <w:t xml:space="preserve">Visit </w:t>
        </w:r>
        <w:r w:rsidR="00DB4715" w:rsidRPr="006E26EA">
          <w:rPr>
            <w:rStyle w:val="Hyperlink"/>
          </w:rPr>
          <w:t>the AES website for</w:t>
        </w:r>
        <w:r w:rsidRPr="006E26EA">
          <w:rPr>
            <w:rStyle w:val="Hyperlink"/>
          </w:rPr>
          <w:t xml:space="preserve"> more information</w:t>
        </w:r>
      </w:hyperlink>
      <w:r>
        <w:t>.</w:t>
      </w:r>
    </w:p>
    <w:p w14:paraId="581ACE70" w14:textId="5831B428" w:rsidR="006C5112" w:rsidRDefault="006C5112" w:rsidP="006C5112">
      <w:pPr>
        <w:pStyle w:val="Heading2"/>
      </w:pPr>
      <w:r>
        <w:t>Dishonesty and Student Misconduct:</w:t>
      </w:r>
    </w:p>
    <w:p w14:paraId="05D95733" w14:textId="48A9791B" w:rsidR="006C5112" w:rsidRDefault="002878B7" w:rsidP="006C5112">
      <w:r>
        <w:t xml:space="preserve">Cheating will result in a minimum penalty of receiving a grade of F in the course. The IUPUI Department of Mathematical Sciences expects all students to </w:t>
      </w:r>
      <w:r w:rsidR="009B1D77">
        <w:t>adhere</w:t>
      </w:r>
      <w:r>
        <w:t xml:space="preserve"> to the regulations put fort</w:t>
      </w:r>
      <w:r w:rsidR="002E03AF">
        <w:t>h</w:t>
      </w:r>
      <w:r w:rsidRPr="002E03AF">
        <w:t xml:space="preserve"> in the </w:t>
      </w:r>
      <w:r w:rsidRPr="00225D8C">
        <w:t>IUPUI Code of Student Rights, Responsibilities, and Conduct concerning academic misconduct or personal</w:t>
      </w:r>
      <w:r>
        <w:t xml:space="preserve"> misconduct. Procedures for imposing academic and disciplinary sanctions are outlined in the Code.</w:t>
      </w:r>
      <w:r w:rsidR="004E2516">
        <w:t xml:space="preserve"> </w:t>
      </w:r>
      <w:hyperlink r:id="rId11" w:history="1">
        <w:r w:rsidR="004E2516" w:rsidRPr="004E2516">
          <w:rPr>
            <w:rStyle w:val="Hyperlink"/>
          </w:rPr>
          <w:t>The</w:t>
        </w:r>
        <w:r w:rsidR="004E2516">
          <w:rPr>
            <w:rStyle w:val="Hyperlink"/>
          </w:rPr>
          <w:t xml:space="preserve"> Student</w:t>
        </w:r>
        <w:r w:rsidR="004E2516" w:rsidRPr="004E2516">
          <w:rPr>
            <w:rStyle w:val="Hyperlink"/>
          </w:rPr>
          <w:t xml:space="preserve"> Code can be accessed here through the website</w:t>
        </w:r>
      </w:hyperlink>
      <w:r w:rsidR="004E2516">
        <w:t xml:space="preserve">. </w:t>
      </w:r>
    </w:p>
    <w:p w14:paraId="2BD225FE" w14:textId="230A887C" w:rsidR="002878B7" w:rsidRDefault="00AF00BE" w:rsidP="002878B7">
      <w:pPr>
        <w:pStyle w:val="Heading2"/>
      </w:pPr>
      <w:r>
        <w:t xml:space="preserve">IUPUI </w:t>
      </w:r>
      <w:r w:rsidR="002878B7">
        <w:t>Policies Governing the Conduct of Courses:</w:t>
      </w:r>
    </w:p>
    <w:p w14:paraId="7301FC22" w14:textId="30EF0690" w:rsidR="002878B7" w:rsidRDefault="002878B7" w:rsidP="002878B7">
      <w:r>
        <w:t xml:space="preserve">These can be </w:t>
      </w:r>
      <w:r w:rsidR="00271FB4">
        <w:t>accessed</w:t>
      </w:r>
      <w:r>
        <w:t xml:space="preserve"> </w:t>
      </w:r>
      <w:hyperlink r:id="rId12" w:history="1">
        <w:r w:rsidR="00271FB4" w:rsidRPr="00271FB4">
          <w:rPr>
            <w:rStyle w:val="Hyperlink"/>
          </w:rPr>
          <w:t>here on the IUP</w:t>
        </w:r>
        <w:r w:rsidR="00271FB4" w:rsidRPr="00271FB4">
          <w:rPr>
            <w:rStyle w:val="Hyperlink"/>
          </w:rPr>
          <w:t>U</w:t>
        </w:r>
        <w:r w:rsidR="00271FB4" w:rsidRPr="00271FB4">
          <w:rPr>
            <w:rStyle w:val="Hyperlink"/>
          </w:rPr>
          <w:t>I Policies and Procedures</w:t>
        </w:r>
        <w:r w:rsidRPr="00271FB4">
          <w:rPr>
            <w:rStyle w:val="Hyperlink"/>
          </w:rPr>
          <w:t xml:space="preserve"> </w:t>
        </w:r>
        <w:r w:rsidR="00271FB4" w:rsidRPr="00271FB4">
          <w:rPr>
            <w:rStyle w:val="Hyperlink"/>
          </w:rPr>
          <w:t>website</w:t>
        </w:r>
      </w:hyperlink>
      <w:bookmarkStart w:id="0" w:name="_GoBack"/>
      <w:bookmarkEnd w:id="0"/>
      <w:r w:rsidR="00271FB4">
        <w:t xml:space="preserve"> </w:t>
      </w:r>
      <w:r w:rsidR="00312A59">
        <w:t>w</w:t>
      </w:r>
      <w:r>
        <w:t>ith links to specific policies in the general areas of attendance, academic policy, conduct</w:t>
      </w:r>
      <w:r w:rsidR="00742720">
        <w:t>,</w:t>
      </w:r>
      <w:r>
        <w:t xml:space="preserve"> and related policies.</w:t>
      </w:r>
    </w:p>
    <w:p w14:paraId="347554FA" w14:textId="3F973849" w:rsidR="002878B7" w:rsidRDefault="002878B7" w:rsidP="002878B7">
      <w:pPr>
        <w:pStyle w:val="Heading2"/>
      </w:pPr>
      <w:r>
        <w:t>Administrative Withdrawal:</w:t>
      </w:r>
    </w:p>
    <w:p w14:paraId="4EB0F842" w14:textId="4CE555EF" w:rsidR="006C5112" w:rsidRDefault="000936A3" w:rsidP="00B50478">
      <w:r>
        <w:t>A basic requirement of this course is that you will participate in all class meetings and conscientiously complete all required course activities and</w:t>
      </w:r>
      <w:r w:rsidR="003947F5">
        <w:t>/or</w:t>
      </w:r>
      <w:r>
        <w:t xml:space="preserve"> assignments. Keep in touch with </w:t>
      </w:r>
      <w:r w:rsidR="003947F5">
        <w:t>the instructor</w:t>
      </w:r>
      <w:r>
        <w:t xml:space="preserve"> if you are unable to attend, participate, or complete an assignment on time. If you miss more than half of the required activities within the first 25% of the course without contacting </w:t>
      </w:r>
      <w:r w:rsidR="006E21CF">
        <w:t>the instructor</w:t>
      </w:r>
      <w:r>
        <w:t>, you may be administratively withdrawn from this course. Administrative withdrawal may have academic, financial, and financial aid implications. Administrative withdrawal will take place after the full refund period, and if you are administratively withdrawn from the course</w:t>
      </w:r>
      <w:r w:rsidR="007124C2">
        <w:t>,</w:t>
      </w:r>
      <w:r>
        <w:t xml:space="preserve"> you will not be eligible for a tuition refund. If you have questions about the administrative withdrawal policy at any point during the semester, please cont</w:t>
      </w:r>
      <w:r w:rsidR="007124C2">
        <w:t xml:space="preserve">act </w:t>
      </w:r>
      <w:r w:rsidR="00920CCF">
        <w:t>your instructor</w:t>
      </w:r>
      <w:r>
        <w:t>.</w:t>
      </w:r>
    </w:p>
    <w:p w14:paraId="3E2D6C33" w14:textId="199B2267" w:rsidR="000936A3" w:rsidRDefault="000936A3" w:rsidP="000936A3">
      <w:pPr>
        <w:pStyle w:val="Heading2"/>
      </w:pPr>
      <w:r>
        <w:t>Incomplete:</w:t>
      </w:r>
    </w:p>
    <w:p w14:paraId="370A7433" w14:textId="03260374" w:rsidR="00410D98" w:rsidRDefault="00410D98" w:rsidP="00B50478">
      <w:r>
        <w:t xml:space="preserve">Grades of Incomplete will only be given in accordance with the Department of Mathematical Sciences Grade of Incomplete Policy. Specifically, students must have a passing grade at the three-fourths mark of the semester to qualify for assigning an incomplete. The instructor must agree that an incomplete is appropriate, and it must be approved by the Associate Chair of the Department of Mathematical Sciences. </w:t>
      </w:r>
    </w:p>
    <w:p w14:paraId="758A33CB" w14:textId="4FEBA7EA" w:rsidR="00410D98" w:rsidRDefault="00410D98" w:rsidP="00B50478"/>
    <w:p w14:paraId="3730E798" w14:textId="77777777" w:rsidR="00285757" w:rsidRDefault="00285757" w:rsidP="00075D74">
      <w:pPr>
        <w:jc w:val="center"/>
        <w:rPr>
          <w:rFonts w:eastAsiaTheme="minorHAnsi"/>
        </w:rPr>
        <w:sectPr w:rsidR="00285757" w:rsidSect="00E448A1">
          <w:type w:val="continuous"/>
          <w:pgSz w:w="12240" w:h="15840"/>
          <w:pgMar w:top="1440" w:right="1440" w:bottom="1440" w:left="1440" w:header="720" w:footer="720" w:gutter="0"/>
          <w:cols w:space="720"/>
          <w:docGrid w:linePitch="360"/>
        </w:sectPr>
      </w:pPr>
    </w:p>
    <w:p w14:paraId="240999AF" w14:textId="6A317820" w:rsidR="00735D8E" w:rsidRPr="004B060E" w:rsidRDefault="00735D8E" w:rsidP="00285757">
      <w:pPr>
        <w:jc w:val="center"/>
        <w:rPr>
          <w:rFonts w:asciiTheme="majorHAnsi" w:eastAsiaTheme="majorEastAsia" w:hAnsiTheme="majorHAnsi" w:cstheme="majorBidi"/>
          <w:color w:val="2F5496" w:themeColor="accent1" w:themeShade="BF"/>
          <w:sz w:val="26"/>
          <w:szCs w:val="26"/>
        </w:rPr>
      </w:pPr>
    </w:p>
    <w:sectPr w:rsidR="00735D8E" w:rsidRPr="004B060E" w:rsidSect="002857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DE8E" w14:textId="77777777" w:rsidR="00FD2CDD" w:rsidRDefault="00FD2CDD" w:rsidP="000922FF">
      <w:pPr>
        <w:spacing w:after="0" w:line="240" w:lineRule="auto"/>
      </w:pPr>
      <w:r>
        <w:separator/>
      </w:r>
    </w:p>
  </w:endnote>
  <w:endnote w:type="continuationSeparator" w:id="0">
    <w:p w14:paraId="65113829" w14:textId="77777777" w:rsidR="00FD2CDD" w:rsidRDefault="00FD2CDD" w:rsidP="0009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420CA" w14:textId="77777777" w:rsidR="00FD2CDD" w:rsidRDefault="00FD2CDD" w:rsidP="000922FF">
      <w:pPr>
        <w:spacing w:after="0" w:line="240" w:lineRule="auto"/>
      </w:pPr>
      <w:r>
        <w:separator/>
      </w:r>
    </w:p>
  </w:footnote>
  <w:footnote w:type="continuationSeparator" w:id="0">
    <w:p w14:paraId="7C3EC180" w14:textId="77777777" w:rsidR="00FD2CDD" w:rsidRDefault="00FD2CDD" w:rsidP="0009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742"/>
    <w:multiLevelType w:val="hybridMultilevel"/>
    <w:tmpl w:val="06149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2AC2"/>
    <w:multiLevelType w:val="hybridMultilevel"/>
    <w:tmpl w:val="1FF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A63"/>
    <w:multiLevelType w:val="hybridMultilevel"/>
    <w:tmpl w:val="3BD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3ABA"/>
    <w:multiLevelType w:val="hybridMultilevel"/>
    <w:tmpl w:val="833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BE6"/>
    <w:multiLevelType w:val="hybridMultilevel"/>
    <w:tmpl w:val="3B463C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CB61F8A"/>
    <w:multiLevelType w:val="hybridMultilevel"/>
    <w:tmpl w:val="3960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46374"/>
    <w:multiLevelType w:val="hybridMultilevel"/>
    <w:tmpl w:val="26F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0275D"/>
    <w:multiLevelType w:val="hybridMultilevel"/>
    <w:tmpl w:val="AEA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D554F"/>
    <w:multiLevelType w:val="hybridMultilevel"/>
    <w:tmpl w:val="FAC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C18B1"/>
    <w:multiLevelType w:val="hybridMultilevel"/>
    <w:tmpl w:val="CE48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E5BAE"/>
    <w:multiLevelType w:val="hybridMultilevel"/>
    <w:tmpl w:val="E7A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1676"/>
    <w:multiLevelType w:val="hybridMultilevel"/>
    <w:tmpl w:val="E83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354D"/>
    <w:multiLevelType w:val="hybridMultilevel"/>
    <w:tmpl w:val="2A66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F3C1C"/>
    <w:multiLevelType w:val="hybridMultilevel"/>
    <w:tmpl w:val="5294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B7286"/>
    <w:multiLevelType w:val="hybridMultilevel"/>
    <w:tmpl w:val="97A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A2260"/>
    <w:multiLevelType w:val="hybridMultilevel"/>
    <w:tmpl w:val="106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3"/>
  </w:num>
  <w:num w:numId="5">
    <w:abstractNumId w:val="0"/>
  </w:num>
  <w:num w:numId="6">
    <w:abstractNumId w:val="13"/>
  </w:num>
  <w:num w:numId="7">
    <w:abstractNumId w:val="8"/>
  </w:num>
  <w:num w:numId="8">
    <w:abstractNumId w:val="2"/>
  </w:num>
  <w:num w:numId="9">
    <w:abstractNumId w:val="15"/>
  </w:num>
  <w:num w:numId="10">
    <w:abstractNumId w:val="1"/>
  </w:num>
  <w:num w:numId="11">
    <w:abstractNumId w:val="9"/>
  </w:num>
  <w:num w:numId="12">
    <w:abstractNumId w:val="7"/>
  </w:num>
  <w:num w:numId="13">
    <w:abstractNumId w:val="4"/>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38"/>
    <w:rsid w:val="00022598"/>
    <w:rsid w:val="000240BA"/>
    <w:rsid w:val="000334AC"/>
    <w:rsid w:val="00040A7A"/>
    <w:rsid w:val="00041FF8"/>
    <w:rsid w:val="000472FB"/>
    <w:rsid w:val="00050399"/>
    <w:rsid w:val="00050FCF"/>
    <w:rsid w:val="00052DED"/>
    <w:rsid w:val="00066995"/>
    <w:rsid w:val="000728C3"/>
    <w:rsid w:val="00075D74"/>
    <w:rsid w:val="000922FF"/>
    <w:rsid w:val="000936A3"/>
    <w:rsid w:val="000A0EAD"/>
    <w:rsid w:val="000A3E5F"/>
    <w:rsid w:val="000D1E2F"/>
    <w:rsid w:val="000D4495"/>
    <w:rsid w:val="000E56BA"/>
    <w:rsid w:val="000F06DB"/>
    <w:rsid w:val="000F6732"/>
    <w:rsid w:val="000F7D8B"/>
    <w:rsid w:val="00113A7B"/>
    <w:rsid w:val="001158C6"/>
    <w:rsid w:val="00117DBB"/>
    <w:rsid w:val="001313F4"/>
    <w:rsid w:val="001372B3"/>
    <w:rsid w:val="00145F70"/>
    <w:rsid w:val="00172804"/>
    <w:rsid w:val="0017327D"/>
    <w:rsid w:val="00174038"/>
    <w:rsid w:val="00191721"/>
    <w:rsid w:val="00192CD5"/>
    <w:rsid w:val="001E3103"/>
    <w:rsid w:val="001E5178"/>
    <w:rsid w:val="001E7E35"/>
    <w:rsid w:val="002013B8"/>
    <w:rsid w:val="00212334"/>
    <w:rsid w:val="00214F53"/>
    <w:rsid w:val="00225D8C"/>
    <w:rsid w:val="0023020C"/>
    <w:rsid w:val="00232F8F"/>
    <w:rsid w:val="00235E8D"/>
    <w:rsid w:val="00240B66"/>
    <w:rsid w:val="00246096"/>
    <w:rsid w:val="00257C1F"/>
    <w:rsid w:val="00263392"/>
    <w:rsid w:val="00271FB4"/>
    <w:rsid w:val="00274AC2"/>
    <w:rsid w:val="0028314C"/>
    <w:rsid w:val="00283A61"/>
    <w:rsid w:val="00285757"/>
    <w:rsid w:val="002878B7"/>
    <w:rsid w:val="00292CCF"/>
    <w:rsid w:val="002B38D2"/>
    <w:rsid w:val="002C5366"/>
    <w:rsid w:val="002C6575"/>
    <w:rsid w:val="002D22B4"/>
    <w:rsid w:val="002E03AF"/>
    <w:rsid w:val="00300A4B"/>
    <w:rsid w:val="00304B36"/>
    <w:rsid w:val="00307354"/>
    <w:rsid w:val="0031035F"/>
    <w:rsid w:val="00310838"/>
    <w:rsid w:val="00312A59"/>
    <w:rsid w:val="00314275"/>
    <w:rsid w:val="00325B72"/>
    <w:rsid w:val="00340E72"/>
    <w:rsid w:val="00341730"/>
    <w:rsid w:val="003615B2"/>
    <w:rsid w:val="003624B0"/>
    <w:rsid w:val="00370BD6"/>
    <w:rsid w:val="0037105A"/>
    <w:rsid w:val="00384FCC"/>
    <w:rsid w:val="003947F5"/>
    <w:rsid w:val="00395408"/>
    <w:rsid w:val="003B697C"/>
    <w:rsid w:val="003C45B2"/>
    <w:rsid w:val="003C7BDE"/>
    <w:rsid w:val="003D0F71"/>
    <w:rsid w:val="003F6C3F"/>
    <w:rsid w:val="00401621"/>
    <w:rsid w:val="00402C2B"/>
    <w:rsid w:val="00410D98"/>
    <w:rsid w:val="00410EE5"/>
    <w:rsid w:val="004203D0"/>
    <w:rsid w:val="00431140"/>
    <w:rsid w:val="00447755"/>
    <w:rsid w:val="00455894"/>
    <w:rsid w:val="004644CC"/>
    <w:rsid w:val="00470471"/>
    <w:rsid w:val="0047722D"/>
    <w:rsid w:val="00484011"/>
    <w:rsid w:val="0049269A"/>
    <w:rsid w:val="004A4DA5"/>
    <w:rsid w:val="004A7A5C"/>
    <w:rsid w:val="004B060E"/>
    <w:rsid w:val="004B1F28"/>
    <w:rsid w:val="004B46F6"/>
    <w:rsid w:val="004E2516"/>
    <w:rsid w:val="004E6DC0"/>
    <w:rsid w:val="004E799A"/>
    <w:rsid w:val="004F1C1F"/>
    <w:rsid w:val="00500644"/>
    <w:rsid w:val="00501198"/>
    <w:rsid w:val="005021A9"/>
    <w:rsid w:val="005122D1"/>
    <w:rsid w:val="0051380C"/>
    <w:rsid w:val="00540B30"/>
    <w:rsid w:val="00546DFA"/>
    <w:rsid w:val="005623C7"/>
    <w:rsid w:val="00597C86"/>
    <w:rsid w:val="005A1513"/>
    <w:rsid w:val="005B356F"/>
    <w:rsid w:val="005B39D0"/>
    <w:rsid w:val="005B3E77"/>
    <w:rsid w:val="005B654D"/>
    <w:rsid w:val="005C1374"/>
    <w:rsid w:val="005C5038"/>
    <w:rsid w:val="005E3936"/>
    <w:rsid w:val="006204BB"/>
    <w:rsid w:val="00636F1E"/>
    <w:rsid w:val="0067283F"/>
    <w:rsid w:val="00682238"/>
    <w:rsid w:val="006B4698"/>
    <w:rsid w:val="006C5112"/>
    <w:rsid w:val="006C7357"/>
    <w:rsid w:val="006D060E"/>
    <w:rsid w:val="006D7732"/>
    <w:rsid w:val="006E21CF"/>
    <w:rsid w:val="006E26EA"/>
    <w:rsid w:val="006E347B"/>
    <w:rsid w:val="006E3C30"/>
    <w:rsid w:val="006F07BE"/>
    <w:rsid w:val="006F0F7A"/>
    <w:rsid w:val="006F291B"/>
    <w:rsid w:val="006F6A6C"/>
    <w:rsid w:val="006F7C43"/>
    <w:rsid w:val="00707ADD"/>
    <w:rsid w:val="00710AEF"/>
    <w:rsid w:val="007124C2"/>
    <w:rsid w:val="00721902"/>
    <w:rsid w:val="00721F33"/>
    <w:rsid w:val="00734CE7"/>
    <w:rsid w:val="00735D8E"/>
    <w:rsid w:val="00737445"/>
    <w:rsid w:val="00742720"/>
    <w:rsid w:val="007501B2"/>
    <w:rsid w:val="00750870"/>
    <w:rsid w:val="0075132B"/>
    <w:rsid w:val="00755012"/>
    <w:rsid w:val="0076667C"/>
    <w:rsid w:val="007762FA"/>
    <w:rsid w:val="00787A96"/>
    <w:rsid w:val="007A292D"/>
    <w:rsid w:val="007A59F6"/>
    <w:rsid w:val="007B36AA"/>
    <w:rsid w:val="007E262A"/>
    <w:rsid w:val="007E6F70"/>
    <w:rsid w:val="007F0324"/>
    <w:rsid w:val="007F158C"/>
    <w:rsid w:val="007F7AE9"/>
    <w:rsid w:val="0080464F"/>
    <w:rsid w:val="008125DB"/>
    <w:rsid w:val="00820962"/>
    <w:rsid w:val="008260D1"/>
    <w:rsid w:val="0085607F"/>
    <w:rsid w:val="00860325"/>
    <w:rsid w:val="00861269"/>
    <w:rsid w:val="00862F00"/>
    <w:rsid w:val="008759B1"/>
    <w:rsid w:val="00881C84"/>
    <w:rsid w:val="008876B9"/>
    <w:rsid w:val="00895CF0"/>
    <w:rsid w:val="008A09C2"/>
    <w:rsid w:val="008A5B30"/>
    <w:rsid w:val="008A6F75"/>
    <w:rsid w:val="008B5427"/>
    <w:rsid w:val="008D2CC7"/>
    <w:rsid w:val="008D543D"/>
    <w:rsid w:val="008F112E"/>
    <w:rsid w:val="008F2E88"/>
    <w:rsid w:val="008F6DC2"/>
    <w:rsid w:val="00900CB4"/>
    <w:rsid w:val="0090550B"/>
    <w:rsid w:val="009060B4"/>
    <w:rsid w:val="0091089A"/>
    <w:rsid w:val="009146D8"/>
    <w:rsid w:val="00920CCF"/>
    <w:rsid w:val="00920E40"/>
    <w:rsid w:val="0092156F"/>
    <w:rsid w:val="009363E5"/>
    <w:rsid w:val="00941119"/>
    <w:rsid w:val="00954B94"/>
    <w:rsid w:val="00972978"/>
    <w:rsid w:val="00972CB1"/>
    <w:rsid w:val="00977690"/>
    <w:rsid w:val="00994636"/>
    <w:rsid w:val="009B1D77"/>
    <w:rsid w:val="009D7AB7"/>
    <w:rsid w:val="00A04D7E"/>
    <w:rsid w:val="00A06B04"/>
    <w:rsid w:val="00A24D82"/>
    <w:rsid w:val="00A41BF5"/>
    <w:rsid w:val="00A4748C"/>
    <w:rsid w:val="00A73BCF"/>
    <w:rsid w:val="00A73D73"/>
    <w:rsid w:val="00A95FB7"/>
    <w:rsid w:val="00AB7106"/>
    <w:rsid w:val="00AC179C"/>
    <w:rsid w:val="00AC21F3"/>
    <w:rsid w:val="00AC739C"/>
    <w:rsid w:val="00AD2ABF"/>
    <w:rsid w:val="00AD69E5"/>
    <w:rsid w:val="00AE2437"/>
    <w:rsid w:val="00AE62AC"/>
    <w:rsid w:val="00AF00BE"/>
    <w:rsid w:val="00AF0E75"/>
    <w:rsid w:val="00B01E96"/>
    <w:rsid w:val="00B15A8B"/>
    <w:rsid w:val="00B31D62"/>
    <w:rsid w:val="00B34CF1"/>
    <w:rsid w:val="00B50478"/>
    <w:rsid w:val="00B6125A"/>
    <w:rsid w:val="00B64224"/>
    <w:rsid w:val="00B815C3"/>
    <w:rsid w:val="00B835BD"/>
    <w:rsid w:val="00B969DF"/>
    <w:rsid w:val="00BA4451"/>
    <w:rsid w:val="00BB78CD"/>
    <w:rsid w:val="00BC7531"/>
    <w:rsid w:val="00BD4DE2"/>
    <w:rsid w:val="00BF597E"/>
    <w:rsid w:val="00C0217E"/>
    <w:rsid w:val="00C11CAE"/>
    <w:rsid w:val="00C32BFF"/>
    <w:rsid w:val="00C44E7F"/>
    <w:rsid w:val="00C65835"/>
    <w:rsid w:val="00C7505F"/>
    <w:rsid w:val="00C870A2"/>
    <w:rsid w:val="00CA0455"/>
    <w:rsid w:val="00CA73B6"/>
    <w:rsid w:val="00CA7651"/>
    <w:rsid w:val="00CB4263"/>
    <w:rsid w:val="00CC7D5A"/>
    <w:rsid w:val="00CF5DCC"/>
    <w:rsid w:val="00D00074"/>
    <w:rsid w:val="00D05B38"/>
    <w:rsid w:val="00D05DB3"/>
    <w:rsid w:val="00D15EB6"/>
    <w:rsid w:val="00D23766"/>
    <w:rsid w:val="00D23998"/>
    <w:rsid w:val="00D24857"/>
    <w:rsid w:val="00D27DA8"/>
    <w:rsid w:val="00D46AF8"/>
    <w:rsid w:val="00D47873"/>
    <w:rsid w:val="00D54FBC"/>
    <w:rsid w:val="00D63705"/>
    <w:rsid w:val="00D653CD"/>
    <w:rsid w:val="00D65CDE"/>
    <w:rsid w:val="00D739D2"/>
    <w:rsid w:val="00D9451C"/>
    <w:rsid w:val="00D95281"/>
    <w:rsid w:val="00DB17B3"/>
    <w:rsid w:val="00DB4715"/>
    <w:rsid w:val="00DB7564"/>
    <w:rsid w:val="00DB7F7D"/>
    <w:rsid w:val="00DC057E"/>
    <w:rsid w:val="00DD77CC"/>
    <w:rsid w:val="00DF74B2"/>
    <w:rsid w:val="00E22DF7"/>
    <w:rsid w:val="00E26986"/>
    <w:rsid w:val="00E4257A"/>
    <w:rsid w:val="00E448A1"/>
    <w:rsid w:val="00E47BC8"/>
    <w:rsid w:val="00E52038"/>
    <w:rsid w:val="00E57CBD"/>
    <w:rsid w:val="00E614C0"/>
    <w:rsid w:val="00E73F12"/>
    <w:rsid w:val="00E85779"/>
    <w:rsid w:val="00E86075"/>
    <w:rsid w:val="00E86D98"/>
    <w:rsid w:val="00E93DDF"/>
    <w:rsid w:val="00E94B0F"/>
    <w:rsid w:val="00EA3D1C"/>
    <w:rsid w:val="00EB2045"/>
    <w:rsid w:val="00EB4CD0"/>
    <w:rsid w:val="00EC1D35"/>
    <w:rsid w:val="00EC201E"/>
    <w:rsid w:val="00ED7D3F"/>
    <w:rsid w:val="00EE5F92"/>
    <w:rsid w:val="00F00BAC"/>
    <w:rsid w:val="00F0595A"/>
    <w:rsid w:val="00F15123"/>
    <w:rsid w:val="00F46583"/>
    <w:rsid w:val="00F53AC7"/>
    <w:rsid w:val="00F66922"/>
    <w:rsid w:val="00F76586"/>
    <w:rsid w:val="00F85711"/>
    <w:rsid w:val="00F870F5"/>
    <w:rsid w:val="00F954E7"/>
    <w:rsid w:val="00FB05BF"/>
    <w:rsid w:val="00FC11DD"/>
    <w:rsid w:val="00FC12E8"/>
    <w:rsid w:val="00FC5908"/>
    <w:rsid w:val="00FD0BA8"/>
    <w:rsid w:val="00FD23FF"/>
    <w:rsid w:val="00FD2CDD"/>
    <w:rsid w:val="00FD2EE1"/>
    <w:rsid w:val="00FD625B"/>
    <w:rsid w:val="00FE0B9B"/>
    <w:rsid w:val="00F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98D"/>
  <w15:chartTrackingRefBased/>
  <w15:docId w15:val="{FFE3BF20-D836-41DE-B074-2B8580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7F"/>
  </w:style>
  <w:style w:type="paragraph" w:styleId="Heading1">
    <w:name w:val="heading 1"/>
    <w:basedOn w:val="Normal"/>
    <w:next w:val="Normal"/>
    <w:link w:val="Heading1Char"/>
    <w:uiPriority w:val="9"/>
    <w:qFormat/>
    <w:rsid w:val="00C44E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93DD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4E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44E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44E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44E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44E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44E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44E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E7F"/>
    <w:rPr>
      <w:rFonts w:asciiTheme="majorHAnsi" w:eastAsiaTheme="majorEastAsia" w:hAnsiTheme="majorHAnsi" w:cstheme="majorBidi"/>
      <w:color w:val="1F3864" w:themeColor="accent1" w:themeShade="80"/>
      <w:sz w:val="36"/>
      <w:szCs w:val="36"/>
    </w:rPr>
  </w:style>
  <w:style w:type="paragraph" w:styleId="Subtitle">
    <w:name w:val="Subtitle"/>
    <w:basedOn w:val="Normal"/>
    <w:next w:val="Normal"/>
    <w:link w:val="SubtitleChar"/>
    <w:uiPriority w:val="11"/>
    <w:qFormat/>
    <w:rsid w:val="00C44E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44E7F"/>
    <w:rPr>
      <w:rFonts w:asciiTheme="majorHAnsi" w:eastAsiaTheme="majorEastAsia" w:hAnsiTheme="majorHAnsi" w:cstheme="majorBidi"/>
      <w:color w:val="4472C4" w:themeColor="accent1"/>
      <w:sz w:val="28"/>
      <w:szCs w:val="28"/>
    </w:rPr>
  </w:style>
  <w:style w:type="paragraph" w:styleId="BalloonText">
    <w:name w:val="Balloon Text"/>
    <w:basedOn w:val="Normal"/>
    <w:link w:val="BalloonTextChar"/>
    <w:uiPriority w:val="99"/>
    <w:semiHidden/>
    <w:unhideWhenUsed/>
    <w:rsid w:val="0002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BA"/>
    <w:rPr>
      <w:rFonts w:ascii="Segoe UI" w:hAnsi="Segoe UI" w:cs="Segoe UI"/>
      <w:sz w:val="18"/>
      <w:szCs w:val="18"/>
    </w:rPr>
  </w:style>
  <w:style w:type="character" w:customStyle="1" w:styleId="Heading2Char">
    <w:name w:val="Heading 2 Char"/>
    <w:basedOn w:val="DefaultParagraphFont"/>
    <w:link w:val="Heading2"/>
    <w:uiPriority w:val="9"/>
    <w:rsid w:val="00E93DD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0B30"/>
    <w:pPr>
      <w:ind w:left="720"/>
      <w:contextualSpacing/>
    </w:pPr>
  </w:style>
  <w:style w:type="character" w:styleId="Hyperlink">
    <w:name w:val="Hyperlink"/>
    <w:basedOn w:val="DefaultParagraphFont"/>
    <w:uiPriority w:val="99"/>
    <w:unhideWhenUsed/>
    <w:rsid w:val="002C5366"/>
    <w:rPr>
      <w:color w:val="0563C1" w:themeColor="hyperlink"/>
      <w:u w:val="single"/>
    </w:rPr>
  </w:style>
  <w:style w:type="character" w:styleId="UnresolvedMention">
    <w:name w:val="Unresolved Mention"/>
    <w:basedOn w:val="DefaultParagraphFont"/>
    <w:uiPriority w:val="99"/>
    <w:semiHidden/>
    <w:unhideWhenUsed/>
    <w:rsid w:val="002C5366"/>
    <w:rPr>
      <w:color w:val="605E5C"/>
      <w:shd w:val="clear" w:color="auto" w:fill="E1DFDD"/>
    </w:rPr>
  </w:style>
  <w:style w:type="character" w:customStyle="1" w:styleId="Heading3Char">
    <w:name w:val="Heading 3 Char"/>
    <w:basedOn w:val="DefaultParagraphFont"/>
    <w:link w:val="Heading3"/>
    <w:uiPriority w:val="9"/>
    <w:semiHidden/>
    <w:rsid w:val="00C44E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E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44E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44E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44E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44E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44E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44E7F"/>
    <w:pPr>
      <w:spacing w:line="240" w:lineRule="auto"/>
    </w:pPr>
    <w:rPr>
      <w:b/>
      <w:bCs/>
      <w:smallCaps/>
      <w:color w:val="44546A" w:themeColor="text2"/>
    </w:rPr>
  </w:style>
  <w:style w:type="paragraph" w:styleId="Title">
    <w:name w:val="Title"/>
    <w:basedOn w:val="Normal"/>
    <w:next w:val="Normal"/>
    <w:link w:val="TitleChar"/>
    <w:uiPriority w:val="10"/>
    <w:qFormat/>
    <w:rsid w:val="00C44E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4E7F"/>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C44E7F"/>
    <w:rPr>
      <w:b/>
      <w:bCs/>
    </w:rPr>
  </w:style>
  <w:style w:type="character" w:styleId="Emphasis">
    <w:name w:val="Emphasis"/>
    <w:basedOn w:val="DefaultParagraphFont"/>
    <w:uiPriority w:val="20"/>
    <w:qFormat/>
    <w:rsid w:val="00C44E7F"/>
    <w:rPr>
      <w:i/>
      <w:iCs/>
    </w:rPr>
  </w:style>
  <w:style w:type="paragraph" w:styleId="NoSpacing">
    <w:name w:val="No Spacing"/>
    <w:uiPriority w:val="1"/>
    <w:qFormat/>
    <w:rsid w:val="00C44E7F"/>
    <w:pPr>
      <w:spacing w:after="0" w:line="240" w:lineRule="auto"/>
    </w:pPr>
  </w:style>
  <w:style w:type="paragraph" w:styleId="Quote">
    <w:name w:val="Quote"/>
    <w:basedOn w:val="Normal"/>
    <w:next w:val="Normal"/>
    <w:link w:val="QuoteChar"/>
    <w:uiPriority w:val="29"/>
    <w:qFormat/>
    <w:rsid w:val="00C44E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4E7F"/>
    <w:rPr>
      <w:color w:val="44546A" w:themeColor="text2"/>
      <w:sz w:val="24"/>
      <w:szCs w:val="24"/>
    </w:rPr>
  </w:style>
  <w:style w:type="paragraph" w:styleId="IntenseQuote">
    <w:name w:val="Intense Quote"/>
    <w:basedOn w:val="Normal"/>
    <w:next w:val="Normal"/>
    <w:link w:val="IntenseQuoteChar"/>
    <w:uiPriority w:val="30"/>
    <w:qFormat/>
    <w:rsid w:val="00C44E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4E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4E7F"/>
    <w:rPr>
      <w:i/>
      <w:iCs/>
      <w:color w:val="595959" w:themeColor="text1" w:themeTint="A6"/>
    </w:rPr>
  </w:style>
  <w:style w:type="character" w:styleId="IntenseEmphasis">
    <w:name w:val="Intense Emphasis"/>
    <w:basedOn w:val="DefaultParagraphFont"/>
    <w:uiPriority w:val="21"/>
    <w:qFormat/>
    <w:rsid w:val="00C44E7F"/>
    <w:rPr>
      <w:b/>
      <w:bCs/>
      <w:i/>
      <w:iCs/>
    </w:rPr>
  </w:style>
  <w:style w:type="character" w:styleId="SubtleReference">
    <w:name w:val="Subtle Reference"/>
    <w:basedOn w:val="DefaultParagraphFont"/>
    <w:uiPriority w:val="31"/>
    <w:qFormat/>
    <w:rsid w:val="00C44E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4E7F"/>
    <w:rPr>
      <w:b/>
      <w:bCs/>
      <w:smallCaps/>
      <w:color w:val="44546A" w:themeColor="text2"/>
      <w:u w:val="single"/>
    </w:rPr>
  </w:style>
  <w:style w:type="character" w:styleId="BookTitle">
    <w:name w:val="Book Title"/>
    <w:basedOn w:val="DefaultParagraphFont"/>
    <w:uiPriority w:val="33"/>
    <w:qFormat/>
    <w:rsid w:val="00C44E7F"/>
    <w:rPr>
      <w:b/>
      <w:bCs/>
      <w:smallCaps/>
      <w:spacing w:val="10"/>
    </w:rPr>
  </w:style>
  <w:style w:type="paragraph" w:styleId="TOCHeading">
    <w:name w:val="TOC Heading"/>
    <w:basedOn w:val="Heading1"/>
    <w:next w:val="Normal"/>
    <w:uiPriority w:val="39"/>
    <w:semiHidden/>
    <w:unhideWhenUsed/>
    <w:qFormat/>
    <w:rsid w:val="00C44E7F"/>
    <w:pPr>
      <w:outlineLvl w:val="9"/>
    </w:pPr>
  </w:style>
  <w:style w:type="character" w:styleId="FollowedHyperlink">
    <w:name w:val="FollowedHyperlink"/>
    <w:basedOn w:val="DefaultParagraphFont"/>
    <w:uiPriority w:val="99"/>
    <w:semiHidden/>
    <w:unhideWhenUsed/>
    <w:rsid w:val="00C65835"/>
    <w:rPr>
      <w:color w:val="954F72" w:themeColor="followedHyperlink"/>
      <w:u w:val="single"/>
    </w:rPr>
  </w:style>
  <w:style w:type="paragraph" w:styleId="Header">
    <w:name w:val="header"/>
    <w:basedOn w:val="Normal"/>
    <w:link w:val="HeaderChar"/>
    <w:uiPriority w:val="99"/>
    <w:unhideWhenUsed/>
    <w:rsid w:val="003F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3F"/>
  </w:style>
  <w:style w:type="paragraph" w:styleId="Footer">
    <w:name w:val="footer"/>
    <w:basedOn w:val="Normal"/>
    <w:link w:val="FooterChar"/>
    <w:uiPriority w:val="99"/>
    <w:unhideWhenUsed/>
    <w:rsid w:val="003F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iupui.edu/math/undergraduate/cour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lletins.iu.edu/iupui/2018-2019/policies/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de.iu.edu/index.html" TargetMode="External"/><Relationship Id="rId5" Type="http://schemas.openxmlformats.org/officeDocument/2006/relationships/webSettings" Target="webSettings.xml"/><Relationship Id="rId10" Type="http://schemas.openxmlformats.org/officeDocument/2006/relationships/hyperlink" Target="https://diversity.iupui.edu/offices/aes/index.html" TargetMode="External"/><Relationship Id="rId4" Type="http://schemas.openxmlformats.org/officeDocument/2006/relationships/settings" Target="settings.xml"/><Relationship Id="rId9" Type="http://schemas.openxmlformats.org/officeDocument/2006/relationships/hyperlink" Target="https://mac.iupu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A91C-034E-48B4-8EE3-DE2CAFF0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Jami</dc:creator>
  <cp:keywords/>
  <dc:description/>
  <cp:lastModifiedBy>Beer, Jami</cp:lastModifiedBy>
  <cp:revision>295</cp:revision>
  <cp:lastPrinted>2020-04-17T16:04:00Z</cp:lastPrinted>
  <dcterms:created xsi:type="dcterms:W3CDTF">2020-04-17T13:10:00Z</dcterms:created>
  <dcterms:modified xsi:type="dcterms:W3CDTF">2020-04-17T16:04:00Z</dcterms:modified>
</cp:coreProperties>
</file>